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541126">
      <w:pPr>
        <w:spacing w:line="560" w:lineRule="exact"/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附件2</w:t>
      </w:r>
    </w:p>
    <w:p w14:paraId="5AB5A9D2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  <w:t>需求响应邀约流程</w:t>
      </w:r>
    </w:p>
    <w:bookmarkEnd w:id="0"/>
    <w:p w14:paraId="2166ABF8">
      <w:pPr>
        <w:pStyle w:val="2"/>
        <w:widowControl w:val="0"/>
        <w:wordWrap/>
        <w:adjustRightInd/>
        <w:snapToGrid/>
        <w:spacing w:line="560" w:lineRule="exact"/>
        <w:ind w:firstLine="643"/>
        <w:textAlignment w:val="auto"/>
        <w:rPr>
          <w:rFonts w:hint="eastAsia" w:ascii="仿宋_GB2312" w:hAnsi="仿宋_GB2312" w:cs="仿宋_GB2312"/>
          <w:color w:val="auto"/>
          <w:szCs w:val="32"/>
          <w:highlight w:val="none"/>
          <w:lang w:val="en-US" w:eastAsia="zh-CN"/>
        </w:rPr>
      </w:pPr>
    </w:p>
    <w:p w14:paraId="7FAD866C">
      <w:pPr>
        <w:widowControl/>
        <w:wordWrap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Cs w:val="32"/>
          <w:highlight w:val="none"/>
          <w:lang w:val="en-US" w:eastAsia="zh-CN"/>
        </w:rPr>
        <w:t>一、邀约发布</w:t>
      </w:r>
    </w:p>
    <w:p w14:paraId="6514E45A">
      <w:pPr>
        <w:widowControl/>
        <w:wordWrap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cs="仿宋_GB2312"/>
          <w:color w:val="auto"/>
          <w:szCs w:val="32"/>
          <w:highlight w:val="none"/>
          <w:lang w:eastAsia="zh-CN"/>
        </w:rPr>
      </w:pPr>
      <w:r>
        <w:rPr>
          <w:rFonts w:hint="eastAsia" w:ascii="CESI楷体-GB13000" w:hAnsi="CESI楷体-GB13000" w:eastAsia="CESI楷体-GB13000" w:cs="CESI楷体-GB13000"/>
          <w:b/>
          <w:bCs/>
          <w:color w:val="auto"/>
          <w:szCs w:val="32"/>
          <w:highlight w:val="none"/>
          <w:lang w:val="en-US" w:eastAsia="zh-CN"/>
        </w:rPr>
        <w:t>（一）</w:t>
      </w:r>
      <w:r>
        <w:rPr>
          <w:rFonts w:hint="eastAsia" w:ascii="仿宋_GB2312" w:hAnsi="仿宋_GB2312" w:cs="仿宋_GB2312"/>
          <w:color w:val="auto"/>
          <w:szCs w:val="32"/>
          <w:highlight w:val="none"/>
          <w:lang w:val="en-US" w:eastAsia="zh-CN"/>
        </w:rPr>
        <w:t>电网企业</w:t>
      </w:r>
      <w:r>
        <w:rPr>
          <w:rFonts w:hint="eastAsia" w:ascii="仿宋_GB2312" w:hAnsi="仿宋_GB2312" w:cs="仿宋_GB2312"/>
          <w:color w:val="auto"/>
          <w:szCs w:val="32"/>
          <w:highlight w:val="none"/>
        </w:rPr>
        <w:t>根据</w:t>
      </w:r>
      <w:r>
        <w:rPr>
          <w:rFonts w:hint="eastAsia" w:ascii="仿宋_GB2312" w:hAnsi="仿宋_GB2312" w:cs="仿宋_GB2312"/>
          <w:color w:val="auto"/>
          <w:szCs w:val="32"/>
          <w:highlight w:val="none"/>
          <w:lang w:eastAsia="zh-CN"/>
        </w:rPr>
        <w:t>电力供需形势</w:t>
      </w:r>
      <w:r>
        <w:rPr>
          <w:rFonts w:hint="eastAsia" w:ascii="仿宋_GB2312" w:hAnsi="仿宋_GB2312" w:cs="仿宋_GB2312"/>
          <w:color w:val="auto"/>
          <w:szCs w:val="32"/>
          <w:highlight w:val="none"/>
        </w:rPr>
        <w:t>，</w:t>
      </w:r>
      <w:r>
        <w:rPr>
          <w:rFonts w:hint="eastAsia" w:ascii="仿宋_GB2312"/>
          <w:color w:val="auto"/>
          <w:szCs w:val="32"/>
          <w:highlight w:val="none"/>
        </w:rPr>
        <w:t>预判供电缺口</w:t>
      </w:r>
      <w:r>
        <w:rPr>
          <w:rFonts w:hint="eastAsia" w:ascii="仿宋_GB2312"/>
          <w:color w:val="auto"/>
          <w:szCs w:val="32"/>
          <w:highlight w:val="none"/>
          <w:lang w:eastAsia="zh-CN"/>
        </w:rPr>
        <w:t>。电力负荷管理中心根据供电缺口提出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  <w:lang w:val="en-US" w:eastAsia="zh-CN"/>
        </w:rPr>
        <w:t>需求响应方式、规模、时段、区域范围等</w:t>
      </w:r>
      <w:r>
        <w:rPr>
          <w:rFonts w:hint="eastAsia" w:ascii="仿宋_GB2312" w:hAnsi="仿宋_GB2312" w:cs="仿宋_GB2312"/>
          <w:color w:val="auto"/>
          <w:szCs w:val="32"/>
          <w:highlight w:val="none"/>
          <w:lang w:eastAsia="zh-CN"/>
        </w:rPr>
        <w:t>建议。</w:t>
      </w:r>
    </w:p>
    <w:p w14:paraId="496F3780">
      <w:pPr>
        <w:widowControl/>
        <w:wordWrap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cs="仿宋_GB2312"/>
          <w:color w:val="auto"/>
          <w:szCs w:val="32"/>
          <w:highlight w:val="none"/>
        </w:rPr>
      </w:pPr>
      <w:r>
        <w:rPr>
          <w:rFonts w:hint="eastAsia" w:ascii="CESI楷体-GB13000" w:hAnsi="CESI楷体-GB13000" w:eastAsia="CESI楷体-GB13000" w:cs="CESI楷体-GB13000"/>
          <w:b/>
          <w:bCs/>
          <w:color w:val="auto"/>
          <w:szCs w:val="32"/>
          <w:highlight w:val="none"/>
          <w:lang w:val="en-US" w:eastAsia="zh-CN"/>
        </w:rPr>
        <w:t>（二）</w:t>
      </w:r>
      <w:r>
        <w:rPr>
          <w:rFonts w:hint="eastAsia" w:ascii="仿宋_GB2312" w:hAnsi="仿宋_GB2312" w:cs="仿宋_GB2312"/>
          <w:color w:val="auto"/>
          <w:szCs w:val="32"/>
          <w:highlight w:val="none"/>
          <w:lang w:val="en-US" w:eastAsia="zh-CN"/>
        </w:rPr>
        <w:t>电力负荷管理中心经电力运行主管部门同意后，</w:t>
      </w:r>
      <w:r>
        <w:rPr>
          <w:rFonts w:hint="eastAsia" w:ascii="仿宋_GB2312" w:hAnsi="仿宋_GB2312" w:cs="仿宋_GB2312"/>
          <w:color w:val="auto"/>
          <w:szCs w:val="32"/>
          <w:highlight w:val="none"/>
        </w:rPr>
        <w:t>向响应主体发出邀约通知，并</w:t>
      </w:r>
      <w:r>
        <w:rPr>
          <w:rFonts w:hint="eastAsia" w:ascii="仿宋_GB2312" w:hAnsi="仿宋_GB2312" w:cs="仿宋_GB2312"/>
          <w:color w:val="auto"/>
          <w:szCs w:val="32"/>
          <w:highlight w:val="none"/>
          <w:lang w:val="en-US" w:eastAsia="zh-CN"/>
        </w:rPr>
        <w:t>推送</w:t>
      </w:r>
      <w:r>
        <w:rPr>
          <w:rFonts w:hint="eastAsia" w:ascii="仿宋_GB2312" w:hAnsi="仿宋_GB2312" w:cs="仿宋_GB2312"/>
          <w:color w:val="auto"/>
          <w:szCs w:val="32"/>
          <w:highlight w:val="none"/>
        </w:rPr>
        <w:t>基线负荷。</w:t>
      </w:r>
    </w:p>
    <w:p w14:paraId="0A5F56BC">
      <w:pPr>
        <w:widowControl/>
        <w:spacing w:line="560" w:lineRule="exact"/>
        <w:ind w:firstLine="640" w:firstLineChars="200"/>
        <w:rPr>
          <w:rFonts w:hint="eastAsia" w:ascii="黑体" w:hAnsi="黑体" w:eastAsia="黑体" w:cs="黑体"/>
          <w:b w:val="0"/>
          <w:bCs/>
          <w:color w:val="auto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Cs w:val="32"/>
          <w:highlight w:val="none"/>
          <w:lang w:val="en-US" w:eastAsia="zh-CN"/>
        </w:rPr>
        <w:t>二、应邀填报</w:t>
      </w:r>
    </w:p>
    <w:p w14:paraId="27B52F4D">
      <w:pPr>
        <w:widowControl/>
        <w:spacing w:line="560" w:lineRule="exact"/>
        <w:ind w:firstLine="643" w:firstLineChars="200"/>
        <w:rPr>
          <w:rFonts w:hint="eastAsia" w:ascii="仿宋_GB2312" w:hAnsi="仿宋_GB2312" w:cs="仿宋_GB2312"/>
          <w:color w:val="auto"/>
          <w:szCs w:val="32"/>
          <w:highlight w:val="none"/>
        </w:rPr>
      </w:pPr>
      <w:r>
        <w:rPr>
          <w:rFonts w:hint="eastAsia" w:ascii="CESI楷体-GB13000" w:hAnsi="CESI楷体-GB13000" w:eastAsia="CESI楷体-GB13000" w:cs="CESI楷体-GB13000"/>
          <w:b/>
          <w:bCs/>
          <w:color w:val="auto"/>
          <w:szCs w:val="32"/>
          <w:highlight w:val="none"/>
          <w:lang w:val="en-US" w:eastAsia="zh-CN"/>
        </w:rPr>
        <w:t>（一）</w:t>
      </w:r>
      <w:r>
        <w:rPr>
          <w:rFonts w:hint="eastAsia" w:ascii="仿宋_GB2312" w:hAnsi="仿宋_GB2312" w:cs="仿宋_GB2312"/>
          <w:color w:val="auto"/>
          <w:szCs w:val="32"/>
          <w:highlight w:val="none"/>
        </w:rPr>
        <w:t>响应主体通过</w:t>
      </w:r>
      <w:r>
        <w:rPr>
          <w:rFonts w:hint="eastAsia" w:ascii="仿宋_GB2312" w:hAnsi="仿宋_GB2312" w:cs="仿宋_GB2312"/>
          <w:color w:val="auto"/>
          <w:szCs w:val="32"/>
          <w:highlight w:val="none"/>
          <w:lang w:eastAsia="zh-CN"/>
        </w:rPr>
        <w:t>新型电力负荷管理系统或</w:t>
      </w:r>
      <w:r>
        <w:rPr>
          <w:rFonts w:hint="eastAsia" w:ascii="仿宋_GB2312" w:hAnsi="仿宋_GB2312" w:cs="仿宋_GB2312"/>
          <w:color w:val="auto"/>
          <w:szCs w:val="32"/>
          <w:highlight w:val="none"/>
        </w:rPr>
        <w:t>“网上国网”APP</w:t>
      </w:r>
      <w:r>
        <w:rPr>
          <w:rFonts w:hint="eastAsia" w:ascii="仿宋_GB2312" w:hAnsi="仿宋_GB2312" w:cs="仿宋_GB2312"/>
          <w:color w:val="auto"/>
          <w:szCs w:val="32"/>
          <w:highlight w:val="none"/>
          <w:lang w:eastAsia="zh-CN"/>
        </w:rPr>
        <w:t>等</w:t>
      </w:r>
      <w:r>
        <w:rPr>
          <w:rFonts w:hint="eastAsia" w:ascii="仿宋_GB2312" w:hAnsi="仿宋_GB2312" w:cs="仿宋_GB2312"/>
          <w:color w:val="auto"/>
          <w:szCs w:val="32"/>
          <w:highlight w:val="none"/>
        </w:rPr>
        <w:t>查询</w:t>
      </w:r>
      <w:r>
        <w:rPr>
          <w:rFonts w:hint="eastAsia" w:ascii="仿宋_GB2312" w:hAnsi="仿宋_GB2312" w:cs="仿宋_GB2312"/>
          <w:color w:val="auto"/>
          <w:szCs w:val="32"/>
          <w:highlight w:val="none"/>
          <w:lang w:val="en-US" w:eastAsia="zh-CN"/>
        </w:rPr>
        <w:t>邀约</w:t>
      </w:r>
      <w:r>
        <w:rPr>
          <w:rFonts w:hint="eastAsia" w:ascii="仿宋_GB2312" w:hAnsi="仿宋_GB2312" w:cs="仿宋_GB2312"/>
          <w:color w:val="auto"/>
          <w:szCs w:val="32"/>
          <w:highlight w:val="none"/>
        </w:rPr>
        <w:t>信息</w:t>
      </w:r>
      <w:r>
        <w:rPr>
          <w:rFonts w:hint="eastAsia" w:ascii="仿宋_GB2312" w:hAnsi="仿宋_GB2312" w:cs="仿宋_GB2312"/>
          <w:color w:val="auto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cs="仿宋_GB2312"/>
          <w:color w:val="auto"/>
          <w:szCs w:val="32"/>
          <w:highlight w:val="none"/>
          <w:lang w:val="en-US" w:eastAsia="zh-CN"/>
        </w:rPr>
        <w:t>并</w:t>
      </w:r>
      <w:r>
        <w:rPr>
          <w:rFonts w:hint="eastAsia" w:ascii="仿宋_GB2312" w:hAnsi="仿宋_GB2312" w:cs="仿宋_GB2312"/>
          <w:color w:val="auto"/>
          <w:szCs w:val="32"/>
          <w:highlight w:val="none"/>
        </w:rPr>
        <w:t>反馈是否参与本次需求响应</w:t>
      </w:r>
      <w:r>
        <w:rPr>
          <w:rFonts w:hint="eastAsia" w:ascii="仿宋_GB2312" w:hAnsi="仿宋_GB2312" w:cs="仿宋_GB2312"/>
          <w:color w:val="auto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cs="仿宋_GB2312"/>
          <w:color w:val="auto"/>
          <w:szCs w:val="32"/>
          <w:highlight w:val="none"/>
        </w:rPr>
        <w:t>逾时未反馈的视为不参与。</w:t>
      </w:r>
    </w:p>
    <w:p w14:paraId="4195986B">
      <w:pPr>
        <w:widowControl/>
        <w:spacing w:line="560" w:lineRule="exact"/>
        <w:ind w:firstLine="643" w:firstLineChars="200"/>
        <w:rPr>
          <w:rFonts w:hint="eastAsia" w:ascii="楷体_GB2312" w:hAnsi="楷体_GB2312" w:cs="楷体_GB2312"/>
          <w:b/>
          <w:bCs/>
          <w:color w:val="auto"/>
          <w:szCs w:val="32"/>
          <w:highlight w:val="none"/>
        </w:rPr>
      </w:pPr>
      <w:r>
        <w:rPr>
          <w:rFonts w:hint="eastAsia" w:ascii="CESI楷体-GB13000" w:hAnsi="CESI楷体-GB13000" w:eastAsia="CESI楷体-GB13000" w:cs="CESI楷体-GB13000"/>
          <w:b/>
          <w:bCs/>
          <w:color w:val="auto"/>
          <w:szCs w:val="32"/>
          <w:highlight w:val="none"/>
          <w:lang w:val="en-US" w:eastAsia="zh-CN"/>
        </w:rPr>
        <w:t>（二）</w:t>
      </w:r>
      <w:r>
        <w:rPr>
          <w:rFonts w:hint="eastAsia" w:ascii="仿宋_GB2312" w:hAnsi="仿宋_GB2312" w:cs="仿宋_GB2312"/>
          <w:color w:val="auto"/>
          <w:szCs w:val="32"/>
          <w:highlight w:val="none"/>
          <w:lang w:val="en-US" w:eastAsia="zh-CN"/>
        </w:rPr>
        <w:t>电力用户反馈</w:t>
      </w:r>
      <w:r>
        <w:rPr>
          <w:rFonts w:hint="eastAsia" w:ascii="仿宋_GB2312" w:hAnsi="仿宋_GB2312" w:cs="仿宋_GB2312"/>
          <w:color w:val="auto"/>
          <w:szCs w:val="32"/>
          <w:highlight w:val="none"/>
        </w:rPr>
        <w:t>响应负荷</w:t>
      </w:r>
      <w:r>
        <w:rPr>
          <w:rFonts w:hint="eastAsia" w:ascii="仿宋_GB2312" w:hAnsi="仿宋_GB2312" w:cs="仿宋_GB2312"/>
          <w:color w:val="auto"/>
          <w:szCs w:val="32"/>
          <w:highlight w:val="none"/>
          <w:lang w:eastAsia="zh-CN"/>
        </w:rPr>
        <w:t>、响应</w:t>
      </w:r>
      <w:r>
        <w:rPr>
          <w:rFonts w:hint="eastAsia" w:ascii="仿宋_GB2312" w:hAnsi="仿宋_GB2312" w:cs="仿宋_GB2312"/>
          <w:color w:val="auto"/>
          <w:szCs w:val="32"/>
          <w:highlight w:val="none"/>
          <w:lang w:val="en-US" w:eastAsia="zh-CN"/>
        </w:rPr>
        <w:t>时段</w:t>
      </w:r>
      <w:r>
        <w:rPr>
          <w:rFonts w:hint="eastAsia" w:ascii="仿宋_GB2312" w:hAnsi="仿宋_GB2312" w:cs="仿宋_GB2312"/>
          <w:color w:val="auto"/>
          <w:szCs w:val="32"/>
          <w:highlight w:val="none"/>
        </w:rPr>
        <w:t>，负荷聚合商</w:t>
      </w:r>
      <w:r>
        <w:rPr>
          <w:rFonts w:hint="eastAsia" w:ascii="仿宋_GB2312" w:hAnsi="仿宋_GB2312" w:cs="仿宋_GB2312"/>
          <w:color w:val="auto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cs="仿宋_GB2312"/>
          <w:color w:val="auto"/>
          <w:szCs w:val="32"/>
          <w:highlight w:val="none"/>
          <w:lang w:val="en-US" w:eastAsia="zh-CN"/>
        </w:rPr>
        <w:t>虚拟电厂运营商反馈</w:t>
      </w:r>
      <w:r>
        <w:rPr>
          <w:rFonts w:hint="eastAsia" w:ascii="仿宋_GB2312" w:hAnsi="仿宋_GB2312" w:cs="仿宋_GB2312"/>
          <w:color w:val="auto"/>
          <w:szCs w:val="32"/>
          <w:highlight w:val="none"/>
          <w:lang w:eastAsia="zh-CN"/>
        </w:rPr>
        <w:t>每户</w:t>
      </w:r>
      <w:r>
        <w:rPr>
          <w:rFonts w:hint="eastAsia" w:ascii="仿宋_GB2312" w:hAnsi="仿宋_GB2312" w:cs="仿宋_GB2312"/>
          <w:color w:val="auto"/>
          <w:szCs w:val="32"/>
          <w:highlight w:val="none"/>
        </w:rPr>
        <w:t>代理用户的响应负荷</w:t>
      </w:r>
      <w:r>
        <w:rPr>
          <w:rFonts w:hint="eastAsia" w:ascii="仿宋_GB2312" w:hAnsi="仿宋_GB2312" w:cs="仿宋_GB2312"/>
          <w:color w:val="auto"/>
          <w:szCs w:val="32"/>
          <w:highlight w:val="none"/>
          <w:lang w:eastAsia="zh-CN"/>
        </w:rPr>
        <w:t>、响应时段及</w:t>
      </w:r>
      <w:r>
        <w:rPr>
          <w:rFonts w:hint="eastAsia" w:ascii="仿宋_GB2312" w:hAnsi="仿宋_GB2312" w:cs="仿宋_GB2312"/>
          <w:color w:val="auto"/>
          <w:szCs w:val="32"/>
          <w:highlight w:val="none"/>
          <w:lang w:val="en-US" w:eastAsia="zh-CN"/>
        </w:rPr>
        <w:t>总</w:t>
      </w:r>
      <w:r>
        <w:rPr>
          <w:rFonts w:hint="eastAsia" w:ascii="仿宋_GB2312" w:hAnsi="仿宋_GB2312" w:cs="仿宋_GB2312"/>
          <w:color w:val="auto"/>
          <w:szCs w:val="32"/>
          <w:highlight w:val="none"/>
        </w:rPr>
        <w:t>响应负荷。</w:t>
      </w:r>
      <w:r>
        <w:rPr>
          <w:rFonts w:hint="eastAsia" w:ascii="仿宋_GB2312" w:hAnsi="仿宋_GB2312" w:cs="仿宋_GB2312"/>
          <w:color w:val="auto"/>
          <w:szCs w:val="32"/>
          <w:highlight w:val="none"/>
          <w:lang w:eastAsia="zh-CN"/>
        </w:rPr>
        <w:t>反馈</w:t>
      </w:r>
      <w:r>
        <w:rPr>
          <w:rFonts w:hint="eastAsia" w:ascii="仿宋_GB2312" w:hAnsi="仿宋_GB2312" w:cs="仿宋_GB2312"/>
          <w:color w:val="auto"/>
          <w:szCs w:val="32"/>
          <w:highlight w:val="none"/>
        </w:rPr>
        <w:t>响应负荷不超过响应时段平均基线负荷。</w:t>
      </w:r>
      <w:r>
        <w:rPr>
          <w:rFonts w:hint="eastAsia" w:ascii="仿宋_GB2312" w:hAnsi="仿宋_GB2312" w:cs="仿宋_GB2312"/>
          <w:color w:val="auto"/>
          <w:szCs w:val="32"/>
          <w:highlight w:val="none"/>
          <w:lang w:eastAsia="zh-CN"/>
        </w:rPr>
        <w:t>邀约时间</w:t>
      </w:r>
      <w:r>
        <w:rPr>
          <w:rFonts w:hint="eastAsia" w:ascii="仿宋_GB2312" w:hAnsi="仿宋_GB2312" w:cs="仿宋_GB2312"/>
          <w:color w:val="auto"/>
          <w:szCs w:val="32"/>
          <w:highlight w:val="none"/>
        </w:rPr>
        <w:t>截止前，</w:t>
      </w:r>
      <w:r>
        <w:rPr>
          <w:rFonts w:hint="eastAsia" w:ascii="仿宋_GB2312" w:hAnsi="仿宋_GB2312" w:cs="仿宋_GB2312"/>
          <w:color w:val="auto"/>
          <w:szCs w:val="32"/>
          <w:highlight w:val="none"/>
          <w:lang w:eastAsia="zh-CN"/>
        </w:rPr>
        <w:t>响应主体</w:t>
      </w:r>
      <w:r>
        <w:rPr>
          <w:rFonts w:hint="eastAsia" w:ascii="仿宋_GB2312" w:hAnsi="仿宋_GB2312" w:cs="仿宋_GB2312"/>
          <w:color w:val="auto"/>
          <w:szCs w:val="32"/>
          <w:highlight w:val="none"/>
        </w:rPr>
        <w:t>可修改负荷信息。</w:t>
      </w:r>
    </w:p>
    <w:p w14:paraId="6B4E1148">
      <w:pPr>
        <w:widowControl/>
        <w:spacing w:line="560" w:lineRule="exact"/>
        <w:ind w:firstLine="640" w:firstLineChars="200"/>
        <w:rPr>
          <w:rFonts w:hint="eastAsia" w:ascii="黑体" w:hAnsi="黑体" w:eastAsia="黑体" w:cs="黑体"/>
          <w:b w:val="0"/>
          <w:bCs/>
          <w:color w:val="auto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Cs w:val="32"/>
          <w:highlight w:val="none"/>
          <w:lang w:val="en-US" w:eastAsia="zh-CN"/>
        </w:rPr>
        <w:t>三、结果查询</w:t>
      </w:r>
    </w:p>
    <w:p w14:paraId="0988F891">
      <w:r>
        <w:rPr>
          <w:rFonts w:hint="eastAsia" w:ascii="仿宋_GB2312" w:hAnsi="仿宋_GB2312" w:cs="仿宋_GB2312"/>
          <w:color w:val="auto"/>
          <w:szCs w:val="32"/>
          <w:highlight w:val="none"/>
          <w:lang w:val="en-US" w:eastAsia="zh-CN"/>
        </w:rPr>
        <w:t>邀约时间</w:t>
      </w:r>
      <w:r>
        <w:rPr>
          <w:rFonts w:hint="eastAsia" w:ascii="仿宋_GB2312" w:hAnsi="仿宋_GB2312" w:eastAsia="仿宋_GB2312" w:cs="仿宋_GB2312"/>
          <w:color w:val="auto"/>
          <w:szCs w:val="32"/>
          <w:highlight w:val="none"/>
        </w:rPr>
        <w:t>截止后，电力</w:t>
      </w:r>
      <w:r>
        <w:rPr>
          <w:rFonts w:hint="eastAsia" w:ascii="仿宋_GB2312" w:hAnsi="仿宋_GB2312" w:eastAsia="仿宋_GB2312" w:cs="仿宋_GB2312"/>
          <w:color w:val="auto"/>
          <w:szCs w:val="32"/>
          <w:highlight w:val="none"/>
          <w:lang w:eastAsia="zh-CN"/>
        </w:rPr>
        <w:t>负荷管理中心</w:t>
      </w:r>
      <w:r>
        <w:rPr>
          <w:rFonts w:hint="eastAsia" w:ascii="仿宋_GB2312" w:hAnsi="仿宋_GB2312" w:eastAsia="仿宋_GB2312" w:cs="仿宋_GB2312"/>
          <w:color w:val="auto"/>
          <w:szCs w:val="32"/>
          <w:highlight w:val="none"/>
        </w:rPr>
        <w:t>统计当次应邀负荷总量</w:t>
      </w:r>
      <w:r>
        <w:rPr>
          <w:rFonts w:hint="eastAsia" w:ascii="仿宋_GB2312" w:hAnsi="仿宋_GB2312" w:cs="仿宋_GB2312"/>
          <w:color w:val="auto"/>
          <w:szCs w:val="32"/>
          <w:highlight w:val="none"/>
          <w:lang w:eastAsia="zh-CN"/>
        </w:rPr>
        <w:t>，并</w:t>
      </w:r>
      <w:r>
        <w:rPr>
          <w:rFonts w:hint="eastAsia" w:ascii="仿宋_GB2312" w:hAnsi="仿宋_GB2312" w:eastAsia="仿宋_GB2312" w:cs="仿宋_GB2312"/>
          <w:color w:val="auto"/>
          <w:szCs w:val="32"/>
          <w:highlight w:val="none"/>
        </w:rPr>
        <w:t>通过电话、短信等方式通知响应主体</w:t>
      </w:r>
      <w:r>
        <w:rPr>
          <w:rFonts w:hint="eastAsia" w:ascii="仿宋_GB2312" w:hAnsi="仿宋_GB2312" w:cs="仿宋_GB2312"/>
          <w:color w:val="auto"/>
          <w:szCs w:val="32"/>
          <w:highlight w:val="none"/>
          <w:lang w:val="en-US" w:eastAsia="zh-CN"/>
        </w:rPr>
        <w:t>应邀结果，</w:t>
      </w:r>
      <w:r>
        <w:rPr>
          <w:rFonts w:hint="eastAsia" w:ascii="仿宋_GB2312" w:hAnsi="仿宋_GB2312" w:eastAsia="仿宋_GB2312" w:cs="仿宋_GB2312"/>
          <w:color w:val="auto"/>
          <w:szCs w:val="32"/>
          <w:highlight w:val="none"/>
        </w:rPr>
        <w:t>响应主体</w:t>
      </w:r>
      <w:r>
        <w:rPr>
          <w:rFonts w:hint="eastAsia" w:ascii="仿宋_GB2312" w:hAnsi="仿宋_GB2312" w:cs="仿宋_GB2312"/>
          <w:color w:val="auto"/>
          <w:szCs w:val="32"/>
          <w:highlight w:val="none"/>
          <w:lang w:val="en-US" w:eastAsia="zh-CN"/>
        </w:rPr>
        <w:t>也</w:t>
      </w:r>
      <w:r>
        <w:rPr>
          <w:rFonts w:hint="eastAsia" w:ascii="仿宋_GB2312" w:hAnsi="仿宋_GB2312" w:eastAsia="仿宋_GB2312" w:cs="仿宋_GB2312"/>
          <w:color w:val="auto"/>
          <w:szCs w:val="32"/>
          <w:highlight w:val="none"/>
        </w:rPr>
        <w:t>可在</w:t>
      </w:r>
      <w:r>
        <w:rPr>
          <w:rFonts w:hint="eastAsia" w:ascii="仿宋_GB2312" w:hAnsi="仿宋_GB2312" w:eastAsia="仿宋_GB2312" w:cs="仿宋_GB2312"/>
          <w:color w:val="auto"/>
          <w:szCs w:val="32"/>
          <w:highlight w:val="none"/>
          <w:lang w:eastAsia="zh-CN"/>
        </w:rPr>
        <w:t>新型电力负荷管理系统</w:t>
      </w:r>
      <w:r>
        <w:rPr>
          <w:rFonts w:hint="eastAsia" w:ascii="仿宋_GB2312" w:hAnsi="仿宋_GB2312" w:cs="仿宋_GB2312"/>
          <w:color w:val="auto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Cs w:val="32"/>
          <w:highlight w:val="none"/>
        </w:rPr>
        <w:t>“网上国网”APP</w:t>
      </w:r>
      <w:r>
        <w:rPr>
          <w:rFonts w:hint="eastAsia" w:ascii="仿宋_GB2312" w:hAnsi="仿宋_GB2312" w:eastAsia="仿宋_GB2312" w:cs="仿宋_GB2312"/>
          <w:color w:val="auto"/>
          <w:szCs w:val="32"/>
          <w:highlight w:val="none"/>
          <w:lang w:eastAsia="zh-CN"/>
        </w:rPr>
        <w:t>等</w:t>
      </w:r>
      <w:r>
        <w:rPr>
          <w:rFonts w:hint="eastAsia" w:ascii="仿宋_GB2312" w:hAnsi="仿宋_GB2312" w:eastAsia="仿宋_GB2312" w:cs="仿宋_GB2312"/>
          <w:color w:val="auto"/>
          <w:szCs w:val="32"/>
          <w:highlight w:val="none"/>
        </w:rPr>
        <w:t>查询</w:t>
      </w:r>
      <w:r>
        <w:rPr>
          <w:rFonts w:hint="eastAsia" w:ascii="仿宋_GB2312" w:hAnsi="仿宋_GB2312" w:cs="仿宋_GB2312"/>
          <w:color w:val="auto"/>
          <w:szCs w:val="32"/>
          <w:highlight w:val="none"/>
          <w:lang w:val="en-US" w:eastAsia="zh-CN"/>
        </w:rPr>
        <w:t>确认</w:t>
      </w:r>
      <w:r>
        <w:rPr>
          <w:rFonts w:hint="eastAsia" w:ascii="仿宋_GB2312" w:hAnsi="仿宋_GB2312" w:cs="仿宋_GB2312"/>
          <w:color w:val="auto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CESI楷体-GB13000">
    <w:altName w:val="楷体"/>
    <w:panose1 w:val="02000500000000000000"/>
    <w:charset w:val="00"/>
    <w:family w:val="auto"/>
    <w:pitch w:val="default"/>
    <w:sig w:usb0="00000000" w:usb1="00000000" w:usb2="00000016" w:usb3="00000000" w:csb0="0004000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FjNjc4OTQwNzE0YmYyZmZhNjA3Y2ZlMDU1Mjc2OGQifQ=="/>
  </w:docVars>
  <w:rsids>
    <w:rsidRoot w:val="79F13EF1"/>
    <w:rsid w:val="79F1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2024-07-23T02:40:00Z</dcterms:created>
  <dc:creator>WPS_1661499108</dc:creator>
  <cp:lastModifiedBy>WPS_1661499108</cp:lastModifiedBy>
  <dcterms:modified xsi:type="dcterms:W3CDTF">2024-07-23T02:41:18Z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9D94B7FE90C24E7D814221E0D78E8B6C_11</vt:lpwstr>
  </property>
</Properties>
</file>